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E0" w:rsidRPr="001061FB" w:rsidRDefault="00DE56E0" w:rsidP="001061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LESS IS MORE - RESTRICTIVE TRANSFUSION STRATEGY IN CORONARY ARTERY DISEASE PATIENTS RESULTS IN SHORTER LENGTH OF STAY</w:t>
      </w:r>
    </w:p>
    <w:p w:rsidR="001061FB" w:rsidRDefault="00DE56E0" w:rsidP="001061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G.A. </w:t>
      </w:r>
      <w:proofErr w:type="spellStart"/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Medranda</w:t>
      </w:r>
      <w:proofErr w:type="spellEnd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P.J. </w:t>
      </w:r>
      <w:proofErr w:type="spellStart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Sapia</w:t>
      </w:r>
      <w:proofErr w:type="spellEnd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</w:t>
      </w:r>
      <w:proofErr w:type="spellStart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Brahmbhatt</w:t>
      </w:r>
      <w:proofErr w:type="spellEnd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C.A. Garcia, C. Healey, M. </w:t>
      </w:r>
      <w:proofErr w:type="spellStart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Fazzari</w:t>
      </w:r>
      <w:proofErr w:type="spellEnd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, S. Green</w:t>
      </w:r>
    </w:p>
    <w:p w:rsidR="00DE56E0" w:rsidRPr="001061FB" w:rsidRDefault="00DE56E0" w:rsidP="001061F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NYU Winthrop Hospital, Mineola, NY, USA.</w:t>
      </w:r>
    </w:p>
    <w:p w:rsidR="00DE56E0" w:rsidRPr="001061FB" w:rsidRDefault="00DE56E0" w:rsidP="001061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1FB" w:rsidRDefault="00DE56E0" w:rsidP="001061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Background: </w:t>
      </w:r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Transfusion thresholds are evolving. With concerns over blood-borne pathogens and costs, this practice has been refined. Evidence exists to support more restrictive transfusion strategies in non-surgical/critical care patients. However, there is a lack of data regarding the impact of transfusions for those non-surgical/critical care patients with pre-existing coronary artery disease (CAD). We hypothesize no benefit of a liberal transfusion strategy in patients with CAD in terms of major adverse cardiovascular events (MACE). </w:t>
      </w:r>
    </w:p>
    <w:p w:rsidR="001061FB" w:rsidRDefault="00DE56E0" w:rsidP="001061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Method:</w:t>
      </w:r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In a retrospective, observational study from 2013-2014, we identified 628 non-surgical/critical care patients with pre-existing CAD who were transfused </w:t>
      </w:r>
      <w:proofErr w:type="spellStart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leukoreduced</w:t>
      </w:r>
      <w:proofErr w:type="spellEnd"/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 blood cells (LRBC). We excluded 226 patients with end stage renal disease. Patients were divided based upon a pre-transfusion hemoglobin of 8 g/dL. Differences in MACE, inpatient mortality, transfusion reactions and length of stay were examined. Using a margin of 10% to define equivalency, 90% confidence intervals (CI) for the differences and p-values for equivalency were computed via two one-sided tests (TOST). Differences in length of stay were evaluated via t-test.</w:t>
      </w:r>
    </w:p>
    <w:p w:rsidR="001061FB" w:rsidRDefault="00DE56E0" w:rsidP="001061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Results:</w:t>
      </w:r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402 included patients, 220 (54.7%) were transfused at a hemoglobin level less than 8 g/dL (restrictive group) and 182 patients (45.3%) were transfused at a hemoglobin level equal to or above 8 g/dL (liberal group). MACE occurred in 7.7% in the restrictive group and 6.6% in the liberal group (90% CI: 1.10 (-3.9, 6.2), supportive of equivalence; TOST p &lt; 0.001). Rates of inpatient mortality or transfusion reactions did not differ between groups. The restrictive group had a median length of stay of 8 days compared to patients in the liberal group with a median of 9 days (p = 0.01).</w:t>
      </w:r>
    </w:p>
    <w:p w:rsidR="00DE56E0" w:rsidRPr="001061FB" w:rsidRDefault="00DE56E0" w:rsidP="001061F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1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Conclusion: </w:t>
      </w:r>
      <w:r w:rsidRPr="001061FB">
        <w:rPr>
          <w:rFonts w:ascii="Times New Roman" w:eastAsia="Times New Roman" w:hAnsi="Times New Roman" w:cs="Times New Roman"/>
          <w:color w:val="000000"/>
          <w:sz w:val="24"/>
          <w:szCs w:val="24"/>
        </w:rPr>
        <w:t>We demonstrated that a liberal transfusion strategy in patients with pre-existing CAD did not lead to an improvement in rates of MACE. In fact, patients who were transfused more liberally had a longer length of stay than those transfused more restrictively. This suggests that adopting a more restrictive transfusion strategy in non-surgical/critical care patients with CAD improves length of stay without an increase in MACE.</w:t>
      </w:r>
    </w:p>
    <w:p w:rsidR="00DE56E0" w:rsidRPr="001061FB" w:rsidRDefault="00DE56E0" w:rsidP="001061FB">
      <w:pPr>
        <w:rPr>
          <w:sz w:val="24"/>
          <w:szCs w:val="24"/>
        </w:rPr>
      </w:pPr>
      <w:bookmarkStart w:id="0" w:name="_GoBack"/>
      <w:bookmarkEnd w:id="0"/>
    </w:p>
    <w:p w:rsidR="00345DBB" w:rsidRPr="001061FB" w:rsidRDefault="00DE56E0" w:rsidP="001061FB">
      <w:pPr>
        <w:tabs>
          <w:tab w:val="left" w:pos="2708"/>
        </w:tabs>
        <w:rPr>
          <w:sz w:val="24"/>
          <w:szCs w:val="24"/>
        </w:rPr>
      </w:pPr>
      <w:r w:rsidRPr="001061FB">
        <w:rPr>
          <w:sz w:val="24"/>
          <w:szCs w:val="24"/>
        </w:rPr>
        <w:tab/>
      </w:r>
    </w:p>
    <w:sectPr w:rsidR="00345DBB" w:rsidRPr="001061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77" w:rsidRDefault="00BE6577" w:rsidP="001061FB">
      <w:r>
        <w:separator/>
      </w:r>
    </w:p>
  </w:endnote>
  <w:endnote w:type="continuationSeparator" w:id="0">
    <w:p w:rsidR="00BE6577" w:rsidRDefault="00BE6577" w:rsidP="0010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77" w:rsidRDefault="00BE6577" w:rsidP="001061FB">
      <w:r>
        <w:separator/>
      </w:r>
    </w:p>
  </w:footnote>
  <w:footnote w:type="continuationSeparator" w:id="0">
    <w:p w:rsidR="00BE6577" w:rsidRDefault="00BE6577" w:rsidP="0010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1FB" w:rsidRPr="001061FB" w:rsidRDefault="001061FB" w:rsidP="001061FB">
    <w:pPr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061FB">
      <w:rPr>
        <w:rFonts w:ascii="Times New Roman" w:eastAsia="Times New Roman" w:hAnsi="Times New Roman" w:cs="Times New Roman"/>
        <w:color w:val="000000"/>
        <w:sz w:val="24"/>
        <w:szCs w:val="24"/>
      </w:rPr>
      <w:t>18-A-664-IAC</w:t>
    </w:r>
  </w:p>
  <w:p w:rsidR="001061FB" w:rsidRPr="001061FB" w:rsidRDefault="001061FB" w:rsidP="001061FB">
    <w:pPr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1061FB">
      <w:rPr>
        <w:rFonts w:ascii="Times New Roman" w:eastAsia="Times New Roman" w:hAnsi="Times New Roman" w:cs="Times New Roman"/>
        <w:color w:val="000000"/>
        <w:sz w:val="24"/>
        <w:szCs w:val="24"/>
      </w:rPr>
      <w:t>54. Measurement of Outcome and Quality of Cardiovascular Care</w:t>
    </w:r>
  </w:p>
  <w:p w:rsidR="001061FB" w:rsidRDefault="001061FB">
    <w:pPr>
      <w:pStyle w:val="Header"/>
    </w:pPr>
  </w:p>
  <w:p w:rsidR="001061FB" w:rsidRDefault="00106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E0"/>
    <w:rsid w:val="001061FB"/>
    <w:rsid w:val="0030401F"/>
    <w:rsid w:val="008A10D5"/>
    <w:rsid w:val="00A128E1"/>
    <w:rsid w:val="00BE6577"/>
    <w:rsid w:val="00DE56E0"/>
    <w:rsid w:val="00E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7DEC"/>
  <w15:chartTrackingRefBased/>
  <w15:docId w15:val="{623FB97D-4742-478E-8EBD-E1A40F2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1FB"/>
  </w:style>
  <w:style w:type="paragraph" w:styleId="Footer">
    <w:name w:val="footer"/>
    <w:basedOn w:val="Normal"/>
    <w:link w:val="FooterChar"/>
    <w:uiPriority w:val="99"/>
    <w:unhideWhenUsed/>
    <w:rsid w:val="00106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Nahari</dc:creator>
  <cp:keywords/>
  <dc:description/>
  <cp:lastModifiedBy>Karyn Nahari</cp:lastModifiedBy>
  <cp:revision>2</cp:revision>
  <dcterms:created xsi:type="dcterms:W3CDTF">2018-05-28T13:56:00Z</dcterms:created>
  <dcterms:modified xsi:type="dcterms:W3CDTF">2018-05-28T13:58:00Z</dcterms:modified>
</cp:coreProperties>
</file>